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DB" w:rsidRDefault="00FB68DD" w:rsidP="00FB68DD">
      <w:pPr>
        <w:jc w:val="center"/>
      </w:pPr>
      <w:r>
        <w:t>Senior Leadership Effe</w:t>
      </w:r>
      <w:r w:rsidR="00E83E8A">
        <w:t>ctiveness Matrix</w:t>
      </w:r>
    </w:p>
    <w:p w:rsidR="00FB68DD" w:rsidRDefault="00FB68DD" w:rsidP="00FB68DD">
      <w:pPr>
        <w:jc w:val="center"/>
      </w:pPr>
      <w:r>
        <w:t>The purpose of this matrix is to encourage self-assessment and leadership team assessment in order to improve our individual and organizational performance.</w:t>
      </w:r>
    </w:p>
    <w:p w:rsidR="00FB68DD" w:rsidRDefault="00FB68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FB68DD" w:rsidTr="003008B3">
        <w:trPr>
          <w:tblHeader/>
        </w:trPr>
        <w:tc>
          <w:tcPr>
            <w:tcW w:w="2196" w:type="dxa"/>
          </w:tcPr>
          <w:p w:rsidR="00FB68DD" w:rsidRPr="00FB68DD" w:rsidRDefault="00FB68DD" w:rsidP="00FB68DD">
            <w:pPr>
              <w:jc w:val="center"/>
              <w:rPr>
                <w:b/>
                <w:sz w:val="28"/>
                <w:szCs w:val="28"/>
              </w:rPr>
            </w:pPr>
            <w:r w:rsidRPr="00FB68DD">
              <w:rPr>
                <w:b/>
                <w:sz w:val="28"/>
                <w:szCs w:val="28"/>
              </w:rPr>
              <w:t>Strategic Goals</w:t>
            </w:r>
          </w:p>
        </w:tc>
        <w:tc>
          <w:tcPr>
            <w:tcW w:w="2196" w:type="dxa"/>
          </w:tcPr>
          <w:p w:rsidR="00FB68DD" w:rsidRPr="00FB68DD" w:rsidRDefault="00FB68DD" w:rsidP="00FB68DD">
            <w:pPr>
              <w:jc w:val="center"/>
              <w:rPr>
                <w:b/>
                <w:sz w:val="28"/>
                <w:szCs w:val="28"/>
              </w:rPr>
            </w:pPr>
            <w:r w:rsidRPr="00FB68DD">
              <w:rPr>
                <w:b/>
                <w:sz w:val="28"/>
                <w:szCs w:val="28"/>
              </w:rPr>
              <w:t>Exemplary</w:t>
            </w:r>
          </w:p>
        </w:tc>
        <w:tc>
          <w:tcPr>
            <w:tcW w:w="2196" w:type="dxa"/>
          </w:tcPr>
          <w:p w:rsidR="00FB68DD" w:rsidRPr="00FB68DD" w:rsidRDefault="00FB68DD" w:rsidP="00FB68DD">
            <w:pPr>
              <w:jc w:val="center"/>
              <w:rPr>
                <w:b/>
                <w:sz w:val="28"/>
                <w:szCs w:val="28"/>
              </w:rPr>
            </w:pPr>
            <w:r w:rsidRPr="00FB68DD">
              <w:rPr>
                <w:b/>
                <w:sz w:val="28"/>
                <w:szCs w:val="28"/>
              </w:rPr>
              <w:t>Proficient</w:t>
            </w:r>
          </w:p>
        </w:tc>
        <w:tc>
          <w:tcPr>
            <w:tcW w:w="2196" w:type="dxa"/>
          </w:tcPr>
          <w:p w:rsidR="00FB68DD" w:rsidRPr="00FB68DD" w:rsidRDefault="00FB68DD" w:rsidP="00FB68DD">
            <w:pPr>
              <w:jc w:val="center"/>
              <w:rPr>
                <w:b/>
                <w:sz w:val="28"/>
                <w:szCs w:val="28"/>
              </w:rPr>
            </w:pPr>
            <w:r w:rsidRPr="00FB68DD">
              <w:rPr>
                <w:b/>
                <w:sz w:val="28"/>
                <w:szCs w:val="28"/>
              </w:rPr>
              <w:t>Progressing</w:t>
            </w:r>
          </w:p>
        </w:tc>
        <w:tc>
          <w:tcPr>
            <w:tcW w:w="2196" w:type="dxa"/>
          </w:tcPr>
          <w:p w:rsidR="00FB68DD" w:rsidRPr="00FB68DD" w:rsidRDefault="00FB68DD" w:rsidP="00FB68DD">
            <w:pPr>
              <w:jc w:val="center"/>
              <w:rPr>
                <w:b/>
                <w:sz w:val="28"/>
                <w:szCs w:val="28"/>
              </w:rPr>
            </w:pPr>
            <w:r w:rsidRPr="00FB68DD">
              <w:rPr>
                <w:b/>
                <w:sz w:val="28"/>
                <w:szCs w:val="28"/>
              </w:rPr>
              <w:t>Not Meeting Standards</w:t>
            </w:r>
          </w:p>
        </w:tc>
        <w:tc>
          <w:tcPr>
            <w:tcW w:w="2196" w:type="dxa"/>
          </w:tcPr>
          <w:p w:rsidR="00FB68DD" w:rsidRPr="00FB68DD" w:rsidRDefault="00FB68DD" w:rsidP="00FB68DD">
            <w:pPr>
              <w:jc w:val="center"/>
              <w:rPr>
                <w:b/>
                <w:sz w:val="28"/>
                <w:szCs w:val="28"/>
              </w:rPr>
            </w:pPr>
            <w:r w:rsidRPr="00FB68DD">
              <w:rPr>
                <w:b/>
                <w:sz w:val="28"/>
                <w:szCs w:val="28"/>
              </w:rPr>
              <w:t>Remarks</w:t>
            </w:r>
          </w:p>
        </w:tc>
      </w:tr>
      <w:tr w:rsidR="00FB68DD" w:rsidTr="00FB68DD">
        <w:tc>
          <w:tcPr>
            <w:tcW w:w="2196" w:type="dxa"/>
          </w:tcPr>
          <w:p w:rsidR="00FB68DD" w:rsidRPr="00FB68DD" w:rsidRDefault="00E83E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Achievement</w:t>
            </w:r>
          </w:p>
        </w:tc>
        <w:tc>
          <w:tcPr>
            <w:tcW w:w="2196" w:type="dxa"/>
          </w:tcPr>
          <w:p w:rsidR="00FB68DD" w:rsidRPr="009933C9" w:rsidRDefault="00FB68DD">
            <w:p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All of Proficient, plus:</w:t>
            </w:r>
          </w:p>
          <w:p w:rsidR="00FB68DD" w:rsidRPr="009933C9" w:rsidRDefault="00FB68DD" w:rsidP="003008B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Specific and consistent of helping other divisions and </w:t>
            </w:r>
            <w:r w:rsidR="009933C9">
              <w:rPr>
                <w:sz w:val="20"/>
                <w:szCs w:val="20"/>
              </w:rPr>
              <w:t>individuals</w:t>
            </w:r>
            <w:r w:rsidRPr="009933C9">
              <w:rPr>
                <w:sz w:val="20"/>
                <w:szCs w:val="20"/>
              </w:rPr>
              <w:t xml:space="preserve"> achieve goals and objectives.</w:t>
            </w:r>
          </w:p>
          <w:p w:rsidR="00FB68DD" w:rsidRDefault="00FB68DD" w:rsidP="003008B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Identifies “lessons learned” from successes and failures, and shares those lessons </w:t>
            </w:r>
            <w:r w:rsidR="00E83E8A">
              <w:rPr>
                <w:sz w:val="20"/>
                <w:szCs w:val="20"/>
              </w:rPr>
              <w:t xml:space="preserve">with colleagues, </w:t>
            </w:r>
            <w:r w:rsidRPr="009933C9">
              <w:rPr>
                <w:sz w:val="20"/>
                <w:szCs w:val="20"/>
              </w:rPr>
              <w:t>internal professional development, leadership meetings, and informal teaching and learning opportunities</w:t>
            </w:r>
          </w:p>
          <w:p w:rsidR="006E178D" w:rsidRPr="009933C9" w:rsidRDefault="006E178D" w:rsidP="003008B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posting of goals is frequent and clearly explained, used as learning tool</w:t>
            </w:r>
          </w:p>
          <w:p w:rsidR="00FB68DD" w:rsidRPr="009933C9" w:rsidRDefault="00FB68DD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</w:tcPr>
          <w:p w:rsidR="00FB68DD" w:rsidRPr="009933C9" w:rsidRDefault="00E83E8A" w:rsidP="00FB68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Translates achievement</w:t>
            </w:r>
            <w:r w:rsidR="00FB68DD" w:rsidRPr="009933C9">
              <w:rPr>
                <w:sz w:val="20"/>
                <w:szCs w:val="20"/>
              </w:rPr>
              <w:t xml:space="preserve"> growth goals into individual and team objectives</w:t>
            </w:r>
          </w:p>
          <w:p w:rsidR="00FB68DD" w:rsidRPr="009933C9" w:rsidRDefault="00FB68DD" w:rsidP="00FB68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Individual and team objectives fit seamlessly int</w:t>
            </w:r>
            <w:r w:rsidR="00B94444">
              <w:rPr>
                <w:sz w:val="20"/>
                <w:szCs w:val="20"/>
              </w:rPr>
              <w:t>o objectives of other teams, our budget and plans</w:t>
            </w:r>
          </w:p>
          <w:p w:rsidR="00FB68DD" w:rsidRPr="009933C9" w:rsidRDefault="00FB68DD" w:rsidP="00FB68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Personal and public accountability for achievement of objectives</w:t>
            </w:r>
          </w:p>
          <w:p w:rsidR="00FB68DD" w:rsidRDefault="00FB68DD" w:rsidP="00FB68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Reacts decisively and immediately if intermediate objectives are not met so that overall goals are met and exceeded.</w:t>
            </w:r>
          </w:p>
          <w:p w:rsidR="006E178D" w:rsidRPr="009933C9" w:rsidRDefault="006E178D" w:rsidP="006E178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Goals publicly posted, per-formance updated at least monthly</w:t>
            </w:r>
          </w:p>
        </w:tc>
        <w:tc>
          <w:tcPr>
            <w:tcW w:w="2196" w:type="dxa"/>
          </w:tcPr>
          <w:p w:rsidR="00FB68DD" w:rsidRPr="009933C9" w:rsidRDefault="003008B3" w:rsidP="003008B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Maintains clear, specific, and measureable personal and team goals.  </w:t>
            </w:r>
            <w:r w:rsidR="009933C9" w:rsidRPr="009933C9">
              <w:rPr>
                <w:sz w:val="20"/>
                <w:szCs w:val="20"/>
              </w:rPr>
              <w:t>These</w:t>
            </w:r>
            <w:r w:rsidRPr="009933C9">
              <w:rPr>
                <w:sz w:val="20"/>
                <w:szCs w:val="20"/>
              </w:rPr>
              <w:t xml:space="preserve"> are generally </w:t>
            </w:r>
            <w:r w:rsidR="009933C9" w:rsidRPr="009933C9">
              <w:rPr>
                <w:sz w:val="20"/>
                <w:szCs w:val="20"/>
              </w:rPr>
              <w:t>related</w:t>
            </w:r>
            <w:r w:rsidRPr="009933C9">
              <w:rPr>
                <w:sz w:val="20"/>
                <w:szCs w:val="20"/>
              </w:rPr>
              <w:t xml:space="preserve"> to the Center’s overall objectives and goals.</w:t>
            </w:r>
          </w:p>
          <w:p w:rsidR="003008B3" w:rsidRPr="009933C9" w:rsidRDefault="003008B3" w:rsidP="003008B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Participates in helping other </w:t>
            </w:r>
            <w:r w:rsidR="009933C9" w:rsidRPr="009933C9">
              <w:rPr>
                <w:sz w:val="20"/>
                <w:szCs w:val="20"/>
              </w:rPr>
              <w:t>divisions</w:t>
            </w:r>
            <w:r w:rsidRPr="009933C9">
              <w:rPr>
                <w:sz w:val="20"/>
                <w:szCs w:val="20"/>
              </w:rPr>
              <w:t xml:space="preserve"> and individuals when asked</w:t>
            </w:r>
          </w:p>
          <w:p w:rsidR="003008B3" w:rsidRPr="009933C9" w:rsidRDefault="003008B3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</w:tcPr>
          <w:p w:rsidR="00FB68DD" w:rsidRPr="009933C9" w:rsidRDefault="003008B3" w:rsidP="003008B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Do</w:t>
            </w:r>
            <w:r w:rsidR="00B94444">
              <w:rPr>
                <w:sz w:val="20"/>
                <w:szCs w:val="20"/>
              </w:rPr>
              <w:t xml:space="preserve">es not know the achievement </w:t>
            </w:r>
            <w:r w:rsidRPr="009933C9">
              <w:rPr>
                <w:sz w:val="20"/>
                <w:szCs w:val="20"/>
              </w:rPr>
              <w:t>goals.</w:t>
            </w:r>
          </w:p>
          <w:p w:rsidR="003008B3" w:rsidRPr="009933C9" w:rsidRDefault="003008B3" w:rsidP="003008B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Does not know the</w:t>
            </w:r>
            <w:r w:rsidR="00B94444">
              <w:rPr>
                <w:sz w:val="20"/>
                <w:szCs w:val="20"/>
              </w:rPr>
              <w:t xml:space="preserve"> growth goals of other parts of the organization</w:t>
            </w:r>
            <w:r w:rsidRPr="009933C9">
              <w:rPr>
                <w:sz w:val="20"/>
                <w:szCs w:val="20"/>
              </w:rPr>
              <w:t>.</w:t>
            </w:r>
          </w:p>
          <w:p w:rsidR="003008B3" w:rsidRPr="009933C9" w:rsidRDefault="003008B3" w:rsidP="003008B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Does not intentionally contribute to the grow</w:t>
            </w:r>
            <w:r w:rsidR="00B94444">
              <w:rPr>
                <w:sz w:val="20"/>
                <w:szCs w:val="20"/>
              </w:rPr>
              <w:t>th and support of other parts of the organization</w:t>
            </w:r>
            <w:r w:rsidRPr="009933C9">
              <w:rPr>
                <w:sz w:val="20"/>
                <w:szCs w:val="20"/>
              </w:rPr>
              <w:t>.</w:t>
            </w:r>
          </w:p>
          <w:p w:rsidR="003008B3" w:rsidRPr="009933C9" w:rsidRDefault="003008B3" w:rsidP="003008B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Goals are unclear, not measureable, or not time-bound.</w:t>
            </w:r>
          </w:p>
          <w:p w:rsidR="003008B3" w:rsidRPr="009933C9" w:rsidRDefault="003008B3" w:rsidP="003008B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There is no clear reaction to conditions when </w:t>
            </w:r>
            <w:r w:rsidR="009933C9" w:rsidRPr="009933C9">
              <w:rPr>
                <w:sz w:val="20"/>
                <w:szCs w:val="20"/>
              </w:rPr>
              <w:t>objectives</w:t>
            </w:r>
            <w:r w:rsidRPr="009933C9">
              <w:rPr>
                <w:sz w:val="20"/>
                <w:szCs w:val="20"/>
              </w:rPr>
              <w:t xml:space="preserve"> and goals are not met.</w:t>
            </w:r>
          </w:p>
          <w:p w:rsidR="003008B3" w:rsidRPr="009933C9" w:rsidRDefault="003008B3" w:rsidP="003008B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Focused on self and not on team or organization</w:t>
            </w:r>
          </w:p>
        </w:tc>
        <w:tc>
          <w:tcPr>
            <w:tcW w:w="2196" w:type="dxa"/>
          </w:tcPr>
          <w:p w:rsidR="00FB68DD" w:rsidRDefault="00FB68DD"/>
        </w:tc>
      </w:tr>
      <w:tr w:rsidR="00FB68DD" w:rsidTr="00FB68DD">
        <w:tc>
          <w:tcPr>
            <w:tcW w:w="2196" w:type="dxa"/>
          </w:tcPr>
          <w:p w:rsidR="00FB68DD" w:rsidRPr="00FB68DD" w:rsidRDefault="00FB68DD">
            <w:pPr>
              <w:rPr>
                <w:b/>
                <w:sz w:val="28"/>
                <w:szCs w:val="28"/>
              </w:rPr>
            </w:pPr>
            <w:r w:rsidRPr="00FB68DD">
              <w:rPr>
                <w:b/>
                <w:sz w:val="28"/>
                <w:szCs w:val="28"/>
              </w:rPr>
              <w:lastRenderedPageBreak/>
              <w:t>Service</w:t>
            </w:r>
          </w:p>
        </w:tc>
        <w:tc>
          <w:tcPr>
            <w:tcW w:w="2196" w:type="dxa"/>
          </w:tcPr>
          <w:p w:rsidR="003008B3" w:rsidRPr="009933C9" w:rsidRDefault="003008B3" w:rsidP="000D47A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All of “Proficient” plus:</w:t>
            </w:r>
          </w:p>
          <w:p w:rsidR="003008B3" w:rsidRPr="009933C9" w:rsidRDefault="003008B3" w:rsidP="000D47A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Takes specific steps to identify the elements of </w:t>
            </w:r>
            <w:r w:rsidR="009933C9" w:rsidRPr="009933C9">
              <w:rPr>
                <w:sz w:val="20"/>
                <w:szCs w:val="20"/>
              </w:rPr>
              <w:t>extraordinary</w:t>
            </w:r>
            <w:r w:rsidRPr="009933C9">
              <w:rPr>
                <w:sz w:val="20"/>
                <w:szCs w:val="20"/>
              </w:rPr>
              <w:t xml:space="preserve"> service and systematize them, as </w:t>
            </w:r>
            <w:r w:rsidR="009933C9" w:rsidRPr="009933C9">
              <w:rPr>
                <w:sz w:val="20"/>
                <w:szCs w:val="20"/>
              </w:rPr>
              <w:t>evidence</w:t>
            </w:r>
            <w:r w:rsidRPr="009933C9">
              <w:rPr>
                <w:sz w:val="20"/>
                <w:szCs w:val="20"/>
              </w:rPr>
              <w:t xml:space="preserve"> by contributions to Center web site, formal training and development programs, leadership meetings, and informal training opportunities</w:t>
            </w:r>
          </w:p>
          <w:p w:rsidR="003008B3" w:rsidRPr="009933C9" w:rsidRDefault="003008B3" w:rsidP="000D47AD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Subordinates personal interests to provide extraordinary service to others</w:t>
            </w:r>
          </w:p>
        </w:tc>
        <w:tc>
          <w:tcPr>
            <w:tcW w:w="2196" w:type="dxa"/>
          </w:tcPr>
          <w:p w:rsidR="003008B3" w:rsidRPr="009933C9" w:rsidRDefault="003008B3" w:rsidP="000D47A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Personally responsible for delivery of “10” service recognized by clients and colleagues</w:t>
            </w:r>
          </w:p>
          <w:p w:rsidR="003008B3" w:rsidRPr="009933C9" w:rsidRDefault="003008B3" w:rsidP="000D47A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Regularly recognizes colleagues who provide extraordinary service</w:t>
            </w:r>
          </w:p>
          <w:p w:rsidR="003008B3" w:rsidRPr="009933C9" w:rsidRDefault="003008B3" w:rsidP="000D47A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Personally responds to instances in which internal or external </w:t>
            </w:r>
            <w:r w:rsidR="009933C9" w:rsidRPr="009933C9">
              <w:rPr>
                <w:sz w:val="20"/>
                <w:szCs w:val="20"/>
              </w:rPr>
              <w:t>service</w:t>
            </w:r>
            <w:r w:rsidRPr="009933C9">
              <w:rPr>
                <w:sz w:val="20"/>
                <w:szCs w:val="20"/>
              </w:rPr>
              <w:t xml:space="preserve"> is inadequate anywhere in the Center, focusing on solutions rather than blame</w:t>
            </w:r>
          </w:p>
          <w:p w:rsidR="00FB68DD" w:rsidRDefault="003008B3" w:rsidP="000D47A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Holds </w:t>
            </w:r>
            <w:r w:rsidR="009933C9" w:rsidRPr="009933C9">
              <w:rPr>
                <w:sz w:val="20"/>
                <w:szCs w:val="20"/>
              </w:rPr>
              <w:t>subordinates</w:t>
            </w:r>
            <w:r w:rsidRPr="009933C9">
              <w:rPr>
                <w:sz w:val="20"/>
                <w:szCs w:val="20"/>
              </w:rPr>
              <w:t xml:space="preserve"> responsible for superior internal and external service</w:t>
            </w:r>
          </w:p>
          <w:p w:rsidR="000D47AD" w:rsidRDefault="000D47AD" w:rsidP="000D47A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E178D" w:rsidRDefault="006E178D" w:rsidP="000D47A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E178D" w:rsidRDefault="006E178D" w:rsidP="000D47A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933C9" w:rsidRDefault="009933C9" w:rsidP="000D47A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933C9" w:rsidRPr="009933C9" w:rsidRDefault="009933C9" w:rsidP="000D47AD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D47AD" w:rsidRPr="009933C9" w:rsidRDefault="000D47AD" w:rsidP="000D47AD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196" w:type="dxa"/>
          </w:tcPr>
          <w:p w:rsidR="00FB68DD" w:rsidRPr="009933C9" w:rsidRDefault="000D47AD" w:rsidP="000D47A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Provides client and internal service that is regularly identified in the 8-10 range by clients and colleagues.</w:t>
            </w:r>
          </w:p>
          <w:p w:rsidR="000D47AD" w:rsidRPr="009933C9" w:rsidRDefault="000D47AD" w:rsidP="000D47A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Occasionally recognizes excellent service from colleagues</w:t>
            </w:r>
          </w:p>
          <w:p w:rsidR="000D47AD" w:rsidRPr="009933C9" w:rsidRDefault="000D47AD" w:rsidP="000D47A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Helps other colleagues and clients when asked</w:t>
            </w:r>
          </w:p>
          <w:p w:rsidR="000D47AD" w:rsidRPr="009933C9" w:rsidRDefault="000D47AD">
            <w:p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</w:tcPr>
          <w:p w:rsidR="00FB68DD" w:rsidRPr="009933C9" w:rsidRDefault="000D47AD" w:rsidP="000D47AD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Provides service to clients or colleagues that is reflected in “7” or lower ratings.</w:t>
            </w:r>
          </w:p>
          <w:p w:rsidR="000D47AD" w:rsidRPr="009933C9" w:rsidRDefault="000D47AD" w:rsidP="000D47AD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Elevates personal needs over the needs of clients and colleagues who need service</w:t>
            </w:r>
          </w:p>
          <w:p w:rsidR="000D47AD" w:rsidRPr="009933C9" w:rsidRDefault="000D47AD" w:rsidP="000D47AD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When helping colleagues or clients, complains about it</w:t>
            </w:r>
          </w:p>
          <w:p w:rsidR="000D47AD" w:rsidRPr="009933C9" w:rsidRDefault="000D47AD" w:rsidP="009933C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Does not recognize colleagues who deliver extraordinary service</w:t>
            </w:r>
          </w:p>
        </w:tc>
        <w:tc>
          <w:tcPr>
            <w:tcW w:w="2196" w:type="dxa"/>
          </w:tcPr>
          <w:p w:rsidR="00FB68DD" w:rsidRDefault="00FB68DD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/>
          <w:p w:rsidR="00E31578" w:rsidRDefault="00E31578">
            <w:bookmarkStart w:id="0" w:name="_GoBack"/>
            <w:bookmarkEnd w:id="0"/>
          </w:p>
        </w:tc>
      </w:tr>
      <w:tr w:rsidR="003008B3" w:rsidTr="00FB68DD">
        <w:tc>
          <w:tcPr>
            <w:tcW w:w="2196" w:type="dxa"/>
          </w:tcPr>
          <w:p w:rsidR="003008B3" w:rsidRPr="00FB68DD" w:rsidRDefault="003008B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Innovation</w:t>
            </w:r>
          </w:p>
        </w:tc>
        <w:tc>
          <w:tcPr>
            <w:tcW w:w="2196" w:type="dxa"/>
          </w:tcPr>
          <w:p w:rsidR="003008B3" w:rsidRPr="009933C9" w:rsidRDefault="00945FCB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All of proficient, plus:</w:t>
            </w:r>
          </w:p>
          <w:p w:rsidR="00945FCB" w:rsidRPr="009933C9" w:rsidRDefault="00945FCB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Identifies specific opportunities for enhancements in existing products, services, and processes for innovation</w:t>
            </w:r>
          </w:p>
          <w:p w:rsidR="00945FCB" w:rsidRPr="009933C9" w:rsidRDefault="00945FCB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Leads teams to identify and execute new innovations in markets, benefits, relationships </w:t>
            </w:r>
            <w:r w:rsidR="009933C9" w:rsidRPr="009933C9">
              <w:rPr>
                <w:sz w:val="20"/>
                <w:szCs w:val="20"/>
              </w:rPr>
              <w:t>with</w:t>
            </w:r>
            <w:r w:rsidRPr="009933C9">
              <w:rPr>
                <w:sz w:val="20"/>
                <w:szCs w:val="20"/>
              </w:rPr>
              <w:t xml:space="preserve"> employees and contractors</w:t>
            </w:r>
          </w:p>
          <w:p w:rsidR="00945FCB" w:rsidRPr="009933C9" w:rsidRDefault="00945FCB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Identifies, develops, executes, and maintains strategic innovative partnerships for the Center</w:t>
            </w:r>
          </w:p>
          <w:p w:rsidR="00945FCB" w:rsidRPr="009933C9" w:rsidRDefault="00945FCB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Codifies innovative processes and “lessons learned” in formal and informal ways</w:t>
            </w:r>
          </w:p>
        </w:tc>
        <w:tc>
          <w:tcPr>
            <w:tcW w:w="2196" w:type="dxa"/>
          </w:tcPr>
          <w:p w:rsidR="000D47AD" w:rsidRPr="009933C9" w:rsidRDefault="000D47AD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 xml:space="preserve">Sets clear objectives for innovation appropriate to </w:t>
            </w:r>
            <w:r w:rsidR="009933C9" w:rsidRPr="009933C9">
              <w:rPr>
                <w:sz w:val="20"/>
                <w:szCs w:val="20"/>
              </w:rPr>
              <w:t>responsibilities</w:t>
            </w:r>
            <w:r w:rsidRPr="009933C9">
              <w:rPr>
                <w:sz w:val="20"/>
                <w:szCs w:val="20"/>
              </w:rPr>
              <w:t xml:space="preserve"> – innovation in products, services, and/or processes to improve internal service and </w:t>
            </w:r>
            <w:r w:rsidR="009933C9" w:rsidRPr="009933C9">
              <w:rPr>
                <w:sz w:val="20"/>
                <w:szCs w:val="20"/>
              </w:rPr>
              <w:t>efficiency</w:t>
            </w:r>
            <w:r w:rsidRPr="009933C9">
              <w:rPr>
                <w:sz w:val="20"/>
                <w:szCs w:val="20"/>
              </w:rPr>
              <w:t>.</w:t>
            </w:r>
          </w:p>
          <w:p w:rsidR="00945FCB" w:rsidRPr="009933C9" w:rsidRDefault="00945FCB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Actively embraces innovation and change and encourages clients and colleagues to do so</w:t>
            </w:r>
          </w:p>
          <w:p w:rsidR="00945FCB" w:rsidRPr="009933C9" w:rsidRDefault="00945FCB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Personal responsibility for analyzing, evaluating, and improving specific processes within personal area of responsibility</w:t>
            </w:r>
          </w:p>
          <w:p w:rsidR="00945FCB" w:rsidRPr="009933C9" w:rsidRDefault="00945FCB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Clear contributions to cross-functional team that leads to innovative services, products, and/or processes</w:t>
            </w:r>
          </w:p>
          <w:p w:rsidR="00945FCB" w:rsidRPr="009933C9" w:rsidRDefault="00945FCB" w:rsidP="00945FC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All necessary steps to protect I.P. for Center innovations</w:t>
            </w:r>
          </w:p>
        </w:tc>
        <w:tc>
          <w:tcPr>
            <w:tcW w:w="2196" w:type="dxa"/>
          </w:tcPr>
          <w:p w:rsidR="003008B3" w:rsidRPr="009933C9" w:rsidRDefault="00945FCB" w:rsidP="009933C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Serves on cross-functional teams to contribute to innovations</w:t>
            </w:r>
          </w:p>
          <w:p w:rsidR="00945FCB" w:rsidRPr="009933C9" w:rsidRDefault="00945FCB" w:rsidP="009933C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Will identify and suggest potential innovations, though the follow-up and implementation is typically done by someone else</w:t>
            </w:r>
          </w:p>
          <w:p w:rsidR="00945FCB" w:rsidRPr="009933C9" w:rsidRDefault="00945FCB" w:rsidP="009933C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Will accept innovation when it is provided</w:t>
            </w:r>
          </w:p>
          <w:p w:rsidR="00945FCB" w:rsidRPr="009933C9" w:rsidRDefault="00945FCB" w:rsidP="009933C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Aware of innovation and change, but is not enthusiastic about embracing or promoting change</w:t>
            </w:r>
          </w:p>
        </w:tc>
        <w:tc>
          <w:tcPr>
            <w:tcW w:w="2196" w:type="dxa"/>
          </w:tcPr>
          <w:p w:rsidR="003008B3" w:rsidRPr="009933C9" w:rsidRDefault="009933C9" w:rsidP="009933C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Resists change and innovation</w:t>
            </w:r>
          </w:p>
          <w:p w:rsidR="009933C9" w:rsidRPr="009933C9" w:rsidRDefault="009933C9" w:rsidP="009933C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Fails</w:t>
            </w:r>
            <w:r w:rsidRPr="009933C9">
              <w:rPr>
                <w:sz w:val="20"/>
                <w:szCs w:val="20"/>
              </w:rPr>
              <w:t xml:space="preserve"> to identify opportunities for improvement</w:t>
            </w:r>
          </w:p>
          <w:p w:rsidR="009933C9" w:rsidRPr="009933C9" w:rsidRDefault="009933C9" w:rsidP="009933C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933C9">
              <w:rPr>
                <w:sz w:val="20"/>
                <w:szCs w:val="20"/>
              </w:rPr>
              <w:t>Does not recognize and appreciate colleagues who provide innovation and change</w:t>
            </w:r>
          </w:p>
        </w:tc>
        <w:tc>
          <w:tcPr>
            <w:tcW w:w="2196" w:type="dxa"/>
          </w:tcPr>
          <w:p w:rsidR="003008B3" w:rsidRDefault="003008B3"/>
        </w:tc>
      </w:tr>
    </w:tbl>
    <w:p w:rsidR="00FB68DD" w:rsidRDefault="00FB68DD"/>
    <w:sectPr w:rsidR="00FB68DD" w:rsidSect="00FB68DD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B6" w:rsidRDefault="00B841B6" w:rsidP="009933C9">
      <w:pPr>
        <w:spacing w:after="0" w:line="240" w:lineRule="auto"/>
      </w:pPr>
      <w:r>
        <w:separator/>
      </w:r>
    </w:p>
  </w:endnote>
  <w:endnote w:type="continuationSeparator" w:id="0">
    <w:p w:rsidR="00B841B6" w:rsidRDefault="00B841B6" w:rsidP="0099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82869"/>
      <w:docPartObj>
        <w:docPartGallery w:val="Page Numbers (Bottom of Page)"/>
        <w:docPartUnique/>
      </w:docPartObj>
    </w:sdtPr>
    <w:sdtEndPr/>
    <w:sdtContent>
      <w:p w:rsidR="009933C9" w:rsidRDefault="006616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15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33C9" w:rsidRDefault="009933C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B6" w:rsidRDefault="00B841B6" w:rsidP="009933C9">
      <w:pPr>
        <w:spacing w:after="0" w:line="240" w:lineRule="auto"/>
      </w:pPr>
      <w:r>
        <w:separator/>
      </w:r>
    </w:p>
  </w:footnote>
  <w:footnote w:type="continuationSeparator" w:id="0">
    <w:p w:rsidR="00B841B6" w:rsidRDefault="00B841B6" w:rsidP="00993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2B3E"/>
    <w:multiLevelType w:val="hybridMultilevel"/>
    <w:tmpl w:val="56206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D36E75"/>
    <w:multiLevelType w:val="hybridMultilevel"/>
    <w:tmpl w:val="27DA22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533E82"/>
    <w:multiLevelType w:val="hybridMultilevel"/>
    <w:tmpl w:val="C71613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4F6730"/>
    <w:multiLevelType w:val="hybridMultilevel"/>
    <w:tmpl w:val="76A4F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771820"/>
    <w:multiLevelType w:val="hybridMultilevel"/>
    <w:tmpl w:val="2A0C62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E00B0A"/>
    <w:multiLevelType w:val="hybridMultilevel"/>
    <w:tmpl w:val="75B8A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DD"/>
    <w:rsid w:val="000D47AD"/>
    <w:rsid w:val="001100DB"/>
    <w:rsid w:val="003008B3"/>
    <w:rsid w:val="00661656"/>
    <w:rsid w:val="006A7245"/>
    <w:rsid w:val="006E178D"/>
    <w:rsid w:val="00736281"/>
    <w:rsid w:val="00752986"/>
    <w:rsid w:val="00805113"/>
    <w:rsid w:val="008C1D61"/>
    <w:rsid w:val="00945FCB"/>
    <w:rsid w:val="009933C9"/>
    <w:rsid w:val="00B841B6"/>
    <w:rsid w:val="00B94444"/>
    <w:rsid w:val="00E31578"/>
    <w:rsid w:val="00E83E8A"/>
    <w:rsid w:val="00FB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8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68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33C9"/>
  </w:style>
  <w:style w:type="paragraph" w:styleId="Footer">
    <w:name w:val="footer"/>
    <w:basedOn w:val="Normal"/>
    <w:link w:val="FooterChar"/>
    <w:uiPriority w:val="99"/>
    <w:unhideWhenUsed/>
    <w:rsid w:val="0099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3C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8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68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33C9"/>
  </w:style>
  <w:style w:type="paragraph" w:styleId="Footer">
    <w:name w:val="footer"/>
    <w:basedOn w:val="Normal"/>
    <w:link w:val="FooterChar"/>
    <w:uiPriority w:val="99"/>
    <w:unhideWhenUsed/>
    <w:rsid w:val="0099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931FC-2EF7-B849-9920-DCB99FA4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3779</Characters>
  <Application>Microsoft Macintosh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dreeves</dc:creator>
  <cp:lastModifiedBy>Thompson School District</cp:lastModifiedBy>
  <cp:revision>2</cp:revision>
  <cp:lastPrinted>2011-12-21T15:18:00Z</cp:lastPrinted>
  <dcterms:created xsi:type="dcterms:W3CDTF">2011-12-21T15:18:00Z</dcterms:created>
  <dcterms:modified xsi:type="dcterms:W3CDTF">2011-12-21T15:18:00Z</dcterms:modified>
</cp:coreProperties>
</file>